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902F21">
      <w:pPr>
        <w:ind w:left="1599" w:firstLine="8891"/>
        <w:jc w:val="both"/>
        <w:rPr>
          <w:bCs/>
          <w:sz w:val="28"/>
          <w:szCs w:val="28"/>
          <w:bdr w:val="none" w:sz="0" w:space="0" w:color="auto" w:frame="1"/>
        </w:rPr>
      </w:pPr>
      <w:r w:rsidRPr="00755EFD">
        <w:rPr>
          <w:bCs/>
          <w:sz w:val="28"/>
          <w:szCs w:val="28"/>
          <w:bdr w:val="none" w:sz="0" w:space="0" w:color="auto" w:frame="1"/>
        </w:rPr>
        <w:t>Приложение 24 к постановлению</w:t>
      </w:r>
    </w:p>
    <w:p w:rsidR="00902F21" w:rsidRPr="00755EFD" w:rsidRDefault="00902F21" w:rsidP="00902F21">
      <w:pPr>
        <w:ind w:left="1599" w:firstLine="8891"/>
        <w:jc w:val="both"/>
        <w:rPr>
          <w:bCs/>
          <w:sz w:val="28"/>
          <w:szCs w:val="28"/>
          <w:bdr w:val="none" w:sz="0" w:space="0" w:color="auto" w:frame="1"/>
        </w:rPr>
      </w:pPr>
      <w:r w:rsidRPr="00755EFD">
        <w:rPr>
          <w:bCs/>
          <w:sz w:val="28"/>
          <w:szCs w:val="28"/>
          <w:bdr w:val="none" w:sz="0" w:space="0" w:color="auto" w:frame="1"/>
        </w:rPr>
        <w:t>Правления Национального Банка</w:t>
      </w:r>
    </w:p>
    <w:p w:rsidR="00902F21" w:rsidRPr="00755EFD" w:rsidRDefault="00902F21" w:rsidP="00902F21">
      <w:pPr>
        <w:ind w:left="1599" w:firstLine="8891"/>
        <w:jc w:val="both"/>
        <w:rPr>
          <w:bCs/>
          <w:sz w:val="28"/>
          <w:szCs w:val="28"/>
          <w:bdr w:val="none" w:sz="0" w:space="0" w:color="auto" w:frame="1"/>
        </w:rPr>
      </w:pPr>
      <w:r w:rsidRPr="00755EFD">
        <w:rPr>
          <w:bCs/>
          <w:sz w:val="28"/>
          <w:szCs w:val="28"/>
          <w:bdr w:val="none" w:sz="0" w:space="0" w:color="auto" w:frame="1"/>
        </w:rPr>
        <w:t>Республики Казахстан</w:t>
      </w:r>
    </w:p>
    <w:p w:rsidR="00902F21" w:rsidRPr="00755EFD" w:rsidRDefault="00902F21" w:rsidP="00902F21">
      <w:pPr>
        <w:ind w:left="1599" w:firstLine="8891"/>
        <w:jc w:val="both"/>
        <w:rPr>
          <w:bCs/>
          <w:sz w:val="28"/>
          <w:szCs w:val="28"/>
          <w:bdr w:val="none" w:sz="0" w:space="0" w:color="auto" w:frame="1"/>
        </w:rPr>
      </w:pPr>
      <w:r w:rsidRPr="00755EFD">
        <w:rPr>
          <w:bCs/>
          <w:sz w:val="28"/>
          <w:szCs w:val="28"/>
          <w:bdr w:val="none" w:sz="0" w:space="0" w:color="auto" w:frame="1"/>
        </w:rPr>
        <w:t>от «</w:t>
      </w:r>
      <w:r>
        <w:rPr>
          <w:bCs/>
          <w:sz w:val="28"/>
          <w:szCs w:val="28"/>
          <w:bdr w:val="none" w:sz="0" w:space="0" w:color="auto" w:frame="1"/>
        </w:rPr>
        <w:t>23</w:t>
      </w:r>
      <w:r w:rsidRPr="00755EFD">
        <w:rPr>
          <w:bCs/>
          <w:sz w:val="28"/>
          <w:szCs w:val="28"/>
          <w:bdr w:val="none" w:sz="0" w:space="0" w:color="auto" w:frame="1"/>
        </w:rPr>
        <w:t xml:space="preserve">» </w:t>
      </w:r>
      <w:r>
        <w:rPr>
          <w:bCs/>
          <w:sz w:val="28"/>
          <w:szCs w:val="28"/>
          <w:bdr w:val="none" w:sz="0" w:space="0" w:color="auto" w:frame="1"/>
        </w:rPr>
        <w:t>июня</w:t>
      </w:r>
      <w:r w:rsidRPr="00755EFD">
        <w:rPr>
          <w:bCs/>
          <w:sz w:val="28"/>
          <w:szCs w:val="28"/>
          <w:bdr w:val="none" w:sz="0" w:space="0" w:color="auto" w:frame="1"/>
        </w:rPr>
        <w:t xml:space="preserve"> 2025 года № </w:t>
      </w:r>
      <w:r>
        <w:rPr>
          <w:bCs/>
          <w:sz w:val="28"/>
          <w:szCs w:val="28"/>
          <w:bdr w:val="none" w:sz="0" w:space="0" w:color="auto" w:frame="1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4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73"/>
        <w:gridCol w:w="1230"/>
        <w:gridCol w:w="904"/>
        <w:gridCol w:w="387"/>
        <w:gridCol w:w="1988"/>
        <w:gridCol w:w="107"/>
        <w:gridCol w:w="409"/>
        <w:gridCol w:w="1333"/>
        <w:gridCol w:w="316"/>
        <w:gridCol w:w="119"/>
        <w:gridCol w:w="586"/>
        <w:gridCol w:w="700"/>
        <w:gridCol w:w="746"/>
        <w:gridCol w:w="856"/>
        <w:gridCol w:w="26"/>
        <w:gridCol w:w="511"/>
        <w:gridCol w:w="379"/>
        <w:gridCol w:w="189"/>
        <w:gridCol w:w="150"/>
        <w:gridCol w:w="356"/>
        <w:gridCol w:w="6"/>
      </w:tblGrid>
      <w:tr w:rsidR="00902F21" w:rsidRPr="00755EFD" w:rsidTr="00635F75">
        <w:trPr>
          <w:gridAfter w:val="2"/>
          <w:wAfter w:w="128" w:type="pct"/>
          <w:jc w:val="center"/>
        </w:trPr>
        <w:tc>
          <w:tcPr>
            <w:tcW w:w="2635" w:type="pct"/>
            <w:gridSpan w:val="7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FE078D1" wp14:editId="0187ACB1">
                  <wp:extent cx="3814763" cy="847725"/>
                  <wp:effectExtent l="0" t="0" r="0" b="0"/>
                  <wp:docPr id="235" name="Рисунок 235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768" cy="84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pct"/>
            <w:gridSpan w:val="13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902F21" w:rsidRPr="00755EFD" w:rsidTr="00635F75">
        <w:trPr>
          <w:gridAfter w:val="2"/>
          <w:wAfter w:w="128" w:type="pct"/>
          <w:jc w:val="center"/>
        </w:trPr>
        <w:tc>
          <w:tcPr>
            <w:tcW w:w="2635" w:type="pct"/>
            <w:gridSpan w:val="7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37" w:type="pct"/>
            <w:gridSpan w:val="13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902F21" w:rsidRPr="00755EFD" w:rsidTr="00635F75">
        <w:trPr>
          <w:gridAfter w:val="2"/>
          <w:wAfter w:w="128" w:type="pct"/>
          <w:jc w:val="center"/>
        </w:trPr>
        <w:tc>
          <w:tcPr>
            <w:tcW w:w="2635" w:type="pct"/>
            <w:gridSpan w:val="7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37" w:type="pct"/>
            <w:gridSpan w:val="13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Банкіне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1"/>
          <w:wAfter w:w="3" w:type="pct"/>
          <w:jc w:val="center"/>
        </w:trPr>
        <w:tc>
          <w:tcPr>
            <w:tcW w:w="4997" w:type="pct"/>
            <w:gridSpan w:val="21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Бейрезиденттермен бағалы қағаздар бойынша халықаралық 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операциялар туралы есеп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 международных операциях по ценным бумагам с нерезидентами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1"/>
          <w:wAfter w:w="3" w:type="pct"/>
          <w:jc w:val="center"/>
        </w:trPr>
        <w:tc>
          <w:tcPr>
            <w:tcW w:w="1000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893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15-ТБ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15-ПБ</w:t>
            </w:r>
          </w:p>
        </w:tc>
        <w:tc>
          <w:tcPr>
            <w:tcW w:w="887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26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07" w:type="pc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CF8AFB5" wp14:editId="7B798F70">
                  <wp:extent cx="371475" cy="333375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27" w:type="pct"/>
            <w:gridSpan w:val="4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</w:rPr>
              <w:drawing>
                <wp:inline distT="0" distB="0" distL="0" distR="0" wp14:anchorId="0180BB72" wp14:editId="42A3AC5A">
                  <wp:extent cx="1123950" cy="33337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902F21" w:rsidRPr="00755EFD" w:rsidTr="00635F75">
        <w:trPr>
          <w:jc w:val="center"/>
        </w:trPr>
        <w:tc>
          <w:tcPr>
            <w:tcW w:w="4819" w:type="pct"/>
            <w:gridSpan w:val="19"/>
            <w:hideMark/>
          </w:tcPr>
          <w:p w:rsidR="00902F21" w:rsidRPr="00755EFD" w:rsidRDefault="00902F21" w:rsidP="00635F75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Банктер, Қазақстан Республикасында бейрезидент банктердің филиалдары; брокерлер және (немесе) дилерлер; инвестициялық портфельді басқаратын ұйымдар; бағалы қағаздардың номиналды ұстаушылары және тіркеушілері; </w:t>
            </w:r>
            <w:r w:rsidRPr="00755EFD">
              <w:rPr>
                <w:b/>
                <w:bCs/>
                <w:sz w:val="28"/>
                <w:szCs w:val="28"/>
                <w:lang w:val="kk-KZ"/>
              </w:rPr>
              <w:t>кастодиандық қызметті жүзеге асыратын ұйымдар; депозитарлық қызметті жүзеге асыратын ұйымдар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;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зейнетақы активтерiн инвестициялық басқаруды жүзеге асыратын ұйымдар; бірыңғай жинақтаушы зейнетақы қоры, ерікті жинақтаушы зейнетақы қорларымен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Представляется банками, филиалами банков-нерезидентов в Республике Казахстан; брокерами и (или) дилерами; организациями по управлению инвестиционным портфелем; номинальными держателями и регистраторами ценных бумаг; </w:t>
            </w:r>
            <w:r w:rsidRPr="000839B6">
              <w:rPr>
                <w:sz w:val="28"/>
                <w:szCs w:val="28"/>
              </w:rPr>
              <w:t>организациями, осуществляющими кастодиальную деятельность; организациями, осуществляющими депозитарную деятельность</w:t>
            </w:r>
            <w:r w:rsidRPr="00755EFD">
              <w:rPr>
                <w:sz w:val="28"/>
                <w:szCs w:val="28"/>
              </w:rPr>
              <w:t>; организациями, осуществляющими инвестиционное управление пенсионными активами; единым накопительным пенсионным фондом, добровольными накопительными пенсионными фондами</w:t>
            </w:r>
          </w:p>
        </w:tc>
        <w:tc>
          <w:tcPr>
            <w:tcW w:w="181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4819" w:type="pct"/>
            <w:gridSpan w:val="19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20-нан кешіктірмей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20 числа первого месяца после отчетного периода</w:t>
            </w:r>
          </w:p>
        </w:tc>
        <w:tc>
          <w:tcPr>
            <w:tcW w:w="181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1436" w:type="pct"/>
            <w:gridSpan w:val="3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383" w:type="pct"/>
            <w:gridSpan w:val="16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C17CB6B" wp14:editId="57E39B3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46990</wp:posOffset>
                  </wp:positionV>
                  <wp:extent cx="3079750" cy="314325"/>
                  <wp:effectExtent l="0" t="0" r="6350" b="9525"/>
                  <wp:wrapSquare wrapText="bothSides"/>
                  <wp:docPr id="11" name="Рисунок 11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5"/>
          <w:wAfter w:w="382" w:type="pct"/>
          <w:jc w:val="center"/>
        </w:trPr>
        <w:tc>
          <w:tcPr>
            <w:tcW w:w="903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33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320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841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655" w:type="pct"/>
            <w:gridSpan w:val="3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12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67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9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 Қазақстан Республикасында эмиссияланған бағалы қағаздар (бұдан әрі – БҚ)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Ценные бумаги (далее – ЦБ), эмитированные в Республике Казахстан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2532"/>
        <w:gridCol w:w="3384"/>
        <w:gridCol w:w="1350"/>
        <w:gridCol w:w="2279"/>
        <w:gridCol w:w="2051"/>
        <w:gridCol w:w="1814"/>
        <w:gridCol w:w="60"/>
      </w:tblGrid>
      <w:tr w:rsidR="00902F21" w:rsidRPr="00755EFD" w:rsidTr="00635F75">
        <w:trPr>
          <w:jc w:val="center"/>
        </w:trPr>
        <w:tc>
          <w:tcPr>
            <w:tcW w:w="272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п/п</w:t>
            </w:r>
          </w:p>
        </w:tc>
        <w:tc>
          <w:tcPr>
            <w:tcW w:w="893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Операцияның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операции</w:t>
            </w:r>
          </w:p>
        </w:tc>
        <w:tc>
          <w:tcPr>
            <w:tcW w:w="1193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сәйкестендіру нөмірі (бұдан әрі –ХСН)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Международный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идентификационный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номер (далее – ISIN)</w:t>
            </w:r>
          </w:p>
        </w:tc>
        <w:tc>
          <w:tcPr>
            <w:tcW w:w="1279" w:type="pct"/>
            <w:gridSpan w:val="2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Шот иесі типінің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типа владельца счета</w:t>
            </w:r>
          </w:p>
        </w:tc>
        <w:tc>
          <w:tcPr>
            <w:tcW w:w="1363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 начало отчетного периода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gridSpan w:val="2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723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640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476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Елдің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страны</w:t>
            </w:r>
          </w:p>
        </w:tc>
        <w:tc>
          <w:tcPr>
            <w:tcW w:w="802" w:type="pct"/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Шот иесі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санатының коды</w:t>
            </w:r>
            <w:r w:rsidRPr="00755EFD">
              <w:t xml:space="preserve">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Код категории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владельца счета</w:t>
            </w: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72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89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19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476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802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72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640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 xml:space="preserve">7 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7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8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11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76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80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2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40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" w:type="dxa"/>
            <w:vAlign w:val="center"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27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8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11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76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80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2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40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" w:type="dxa"/>
            <w:vAlign w:val="center"/>
          </w:tcPr>
          <w:p w:rsidR="00902F21" w:rsidRPr="00755EFD" w:rsidRDefault="00902F21" w:rsidP="00635F75"/>
        </w:tc>
      </w:tr>
    </w:tbl>
    <w:p w:rsidR="00902F21" w:rsidRPr="00755EFD" w:rsidRDefault="00902F21" w:rsidP="00902F21">
      <w:pPr>
        <w:ind w:left="142"/>
        <w:jc w:val="both"/>
      </w:pPr>
      <w:r w:rsidRPr="00755EFD">
        <w:rPr>
          <w:b/>
          <w:bCs/>
          <w:bdr w:val="none" w:sz="0" w:space="0" w:color="auto" w:frame="1"/>
        </w:rPr>
        <w:lastRenderedPageBreak/>
        <w:t>Кестенің жалғасы</w:t>
      </w:r>
    </w:p>
    <w:p w:rsidR="00902F21" w:rsidRPr="00755EFD" w:rsidRDefault="00902F21" w:rsidP="00902F21">
      <w:pPr>
        <w:ind w:left="142"/>
        <w:jc w:val="both"/>
      </w:pPr>
      <w:r w:rsidRPr="00755EFD">
        <w:t>Продолжение таблицы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709"/>
        <w:gridCol w:w="1931"/>
        <w:gridCol w:w="1709"/>
        <w:gridCol w:w="1931"/>
        <w:gridCol w:w="1709"/>
        <w:gridCol w:w="1931"/>
        <w:gridCol w:w="1709"/>
      </w:tblGrid>
      <w:tr w:rsidR="00902F21" w:rsidRPr="00755EFD" w:rsidTr="00635F75">
        <w:trPr>
          <w:jc w:val="center"/>
        </w:trPr>
        <w:tc>
          <w:tcPr>
            <w:tcW w:w="3644" w:type="pct"/>
            <w:gridSpan w:val="8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Қаржылық операциялар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Финансовые операции</w:t>
            </w:r>
          </w:p>
        </w:tc>
      </w:tr>
      <w:tr w:rsidR="00902F21" w:rsidRPr="00755EFD" w:rsidTr="00635F75">
        <w:trPr>
          <w:jc w:val="center"/>
        </w:trPr>
        <w:tc>
          <w:tcPr>
            <w:tcW w:w="911" w:type="pct"/>
            <w:gridSpan w:val="2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бастапқы нарықта сатып алу</w:t>
            </w:r>
          </w:p>
          <w:p w:rsidR="00902F21" w:rsidRPr="00755EFD" w:rsidRDefault="00902F21" w:rsidP="00635F75">
            <w:r w:rsidRPr="00755EFD">
              <w:t>покупка на первичном рынке</w:t>
            </w:r>
          </w:p>
        </w:tc>
        <w:tc>
          <w:tcPr>
            <w:tcW w:w="911" w:type="pct"/>
            <w:gridSpan w:val="2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эмитенттің өтеуі (сатып алуы)</w:t>
            </w:r>
          </w:p>
          <w:p w:rsidR="00902F21" w:rsidRPr="00755EFD" w:rsidRDefault="00902F21" w:rsidP="00635F75">
            <w:r w:rsidRPr="00755EFD">
              <w:t xml:space="preserve">погашение (выкуп) </w:t>
            </w:r>
          </w:p>
          <w:p w:rsidR="00902F21" w:rsidRPr="00755EFD" w:rsidRDefault="00902F21" w:rsidP="00635F75">
            <w:r w:rsidRPr="00755EFD">
              <w:t>эмитентом</w:t>
            </w:r>
          </w:p>
        </w:tc>
        <w:tc>
          <w:tcPr>
            <w:tcW w:w="911" w:type="pct"/>
            <w:gridSpan w:val="2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қосалқы нарықта сатып алу</w:t>
            </w:r>
          </w:p>
          <w:p w:rsidR="00902F21" w:rsidRPr="00755EFD" w:rsidRDefault="00902F21" w:rsidP="00635F75">
            <w:r w:rsidRPr="00755EFD">
              <w:t>покупка на вторичном рынке</w:t>
            </w:r>
          </w:p>
        </w:tc>
        <w:tc>
          <w:tcPr>
            <w:tcW w:w="911" w:type="pct"/>
            <w:gridSpan w:val="2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қосалқы нарықта сату</w:t>
            </w:r>
          </w:p>
          <w:p w:rsidR="00902F21" w:rsidRPr="00755EFD" w:rsidRDefault="00902F21" w:rsidP="00635F75">
            <w:r w:rsidRPr="00755EFD">
              <w:t>продажа на вторичном рынке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r w:rsidRPr="00755EFD">
              <w:t>количество, штук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r w:rsidRPr="00755EFD">
              <w:t>стоимость ЦБ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r w:rsidRPr="00755EFD">
              <w:t>количество, штук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r w:rsidRPr="00755EFD">
              <w:t>стоимость ЦБ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r w:rsidRPr="00755EFD">
              <w:t>количество, штук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r w:rsidRPr="00755EFD">
              <w:t>стоимость ЦБ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r w:rsidRPr="00755EFD">
              <w:t>количество, штук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r w:rsidRPr="00755EFD">
              <w:t>стоимость ЦБ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48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42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268"/>
        <w:gridCol w:w="1461"/>
        <w:gridCol w:w="1269"/>
        <w:gridCol w:w="1667"/>
        <w:gridCol w:w="1461"/>
        <w:gridCol w:w="1269"/>
        <w:gridCol w:w="1487"/>
        <w:gridCol w:w="1365"/>
        <w:gridCol w:w="1842"/>
      </w:tblGrid>
      <w:tr w:rsidR="00902F21" w:rsidRPr="00755EFD" w:rsidTr="00635F75">
        <w:trPr>
          <w:jc w:val="center"/>
        </w:trPr>
        <w:tc>
          <w:tcPr>
            <w:tcW w:w="18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Басқа операциялар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Прочие операции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Құны бойынша өзгерістер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Стоимостные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изменения</w:t>
            </w:r>
          </w:p>
        </w:tc>
        <w:tc>
          <w:tcPr>
            <w:tcW w:w="9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аяғында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 конец отчетного периода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кіріс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Инвестиционный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доход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Алынған комиссиялық алымдар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Комиссионные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полученные</w:t>
            </w:r>
          </w:p>
        </w:tc>
      </w:tr>
      <w:tr w:rsidR="00902F21" w:rsidRPr="00755EFD" w:rsidTr="00635F75">
        <w:trPr>
          <w:jc w:val="center"/>
        </w:trPr>
        <w:tc>
          <w:tcPr>
            <w:tcW w:w="9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есептеу бойынша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 зачислению ЦБ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есептен шығарубойынша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 списанию ЦБ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 беру кезеңінде есептелгені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Начислено в отчетном периоде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 беру кезеңінде алынғаны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Получено в отчетном периоде</w:t>
            </w:r>
          </w:p>
        </w:tc>
        <w:tc>
          <w:tcPr>
            <w:tcW w:w="6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1.1 Теңгемен номинирленген бағалы қағаздар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1.1 Ценные бумаги, номинированные в тенге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1.1.1 Резиденттер эмиссиялаған және бейрезиденттерге тиесілі бағалы қағаздар, </w:t>
      </w:r>
      <w:r w:rsidRPr="00755EFD">
        <w:rPr>
          <w:b/>
          <w:bCs/>
          <w:sz w:val="28"/>
          <w:szCs w:val="28"/>
          <w:lang w:val="kk-KZ"/>
        </w:rPr>
        <w:t>вексельдер</w:t>
      </w:r>
      <w:r w:rsidRPr="00755EFD">
        <w:rPr>
          <w:b/>
          <w:bCs/>
          <w:sz w:val="28"/>
          <w:szCs w:val="28"/>
          <w:bdr w:val="none" w:sz="0" w:space="0" w:color="auto" w:frame="1"/>
        </w:rPr>
        <w:t>, мың теңгемен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1.1.1 Ценные бумаги, </w:t>
      </w:r>
      <w:r w:rsidRPr="000839B6">
        <w:rPr>
          <w:sz w:val="28"/>
          <w:szCs w:val="28"/>
        </w:rPr>
        <w:t>векселя</w:t>
      </w:r>
      <w:r w:rsidRPr="00755EFD">
        <w:rPr>
          <w:sz w:val="28"/>
          <w:szCs w:val="28"/>
        </w:rPr>
        <w:t>, эмитированные резидентами и принадлежащие нерезидентам, в тысячах тенге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1111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1111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1.1.2 Бейрезиденттер эмиссиялаған және резиденттерге тиесілі бағалы қағаздар, мың теңгемен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1.1.2 Ценные бумаги, эмитированные нерезидентами и принадлежащие резидентам, в тысячах тенге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1.2 Шетел валютасымен номинирленген бағалы қағаздар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1.2 Ценные бумаги, номинированные в иностранной валюте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 xml:space="preserve">1.2.1 Резиденттер эмиссиялаған және бейрезиденттерге тиесілі бағалы қағаздар, </w:t>
      </w:r>
      <w:r w:rsidRPr="00755EFD">
        <w:rPr>
          <w:b/>
          <w:bCs/>
          <w:sz w:val="28"/>
          <w:szCs w:val="28"/>
          <w:lang w:val="kk-KZ"/>
        </w:rPr>
        <w:t>вексельдер,</w:t>
      </w:r>
      <w:r w:rsidRPr="00755EFD">
        <w:rPr>
          <w:b/>
          <w:bCs/>
          <w:sz w:val="28"/>
          <w:szCs w:val="28"/>
          <w:bdr w:val="none" w:sz="0" w:space="0" w:color="auto" w:frame="1"/>
        </w:rPr>
        <w:t xml:space="preserve"> мың Америка Құрама Штаттарының (бұдан әрі – АҚШ) долларымен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1.2.1. Ценные бумаги, </w:t>
      </w:r>
      <w:r w:rsidRPr="000839B6">
        <w:rPr>
          <w:sz w:val="28"/>
          <w:szCs w:val="28"/>
        </w:rPr>
        <w:t>векселя</w:t>
      </w:r>
      <w:r w:rsidRPr="00755EFD">
        <w:rPr>
          <w:sz w:val="28"/>
          <w:szCs w:val="28"/>
          <w:u w:val="single"/>
        </w:rPr>
        <w:t>,</w:t>
      </w:r>
      <w:r w:rsidRPr="00755EFD">
        <w:rPr>
          <w:sz w:val="28"/>
          <w:szCs w:val="28"/>
        </w:rPr>
        <w:t xml:space="preserve"> эмитированные резидентами и принадлежащие нерезидентам, в тысячах долларов Соединенных Штатов Америки (далее – США)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1121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1121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1.2.2 Бейрезиденттер эмиссиялаған және резиденттерге тиесілі бағалы қағаздар, мың АҚШ долларымен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1.2.2 Ценные бумаги, эмитированные нерезидентами и принадлежащие резидентам, в тысячах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1220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 Басқа мемлекеттердің заңнамасына сәйкес және солардың аумағында шығарылған бағалы қағаздар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Ценные бумаги, выпущенные в соответствии с законодательством других государств и на их территории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685"/>
        <w:gridCol w:w="1135"/>
        <w:gridCol w:w="1562"/>
        <w:gridCol w:w="3826"/>
        <w:gridCol w:w="2216"/>
        <w:gridCol w:w="1920"/>
        <w:gridCol w:w="60"/>
      </w:tblGrid>
      <w:tr w:rsidR="00902F21" w:rsidRPr="00755EFD" w:rsidTr="00635F75">
        <w:trPr>
          <w:jc w:val="center"/>
        </w:trPr>
        <w:tc>
          <w:tcPr>
            <w:tcW w:w="289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п/п</w:t>
            </w:r>
          </w:p>
        </w:tc>
        <w:tc>
          <w:tcPr>
            <w:tcW w:w="948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Операцияның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операции</w:t>
            </w:r>
          </w:p>
        </w:tc>
        <w:tc>
          <w:tcPr>
            <w:tcW w:w="401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ХСН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ISIN</w:t>
            </w:r>
          </w:p>
        </w:tc>
        <w:tc>
          <w:tcPr>
            <w:tcW w:w="1902" w:type="pct"/>
            <w:gridSpan w:val="2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Шот иесі типінің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типа владельца счета</w:t>
            </w:r>
          </w:p>
        </w:tc>
        <w:tc>
          <w:tcPr>
            <w:tcW w:w="1460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 начало отчетного периода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82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678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55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Елдің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страны</w:t>
            </w:r>
          </w:p>
        </w:tc>
        <w:tc>
          <w:tcPr>
            <w:tcW w:w="135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Шот иесі санатының коды</w:t>
            </w:r>
            <w:r w:rsidRPr="00755EFD">
              <w:t xml:space="preserve">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категории владельца счета</w:t>
            </w: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9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94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40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55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35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782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678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6" w:type="dxa"/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9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94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0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55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135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8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7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" w:type="dxa"/>
            <w:vAlign w:val="center"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289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94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0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55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135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82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78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6" w:type="dxa"/>
            <w:vAlign w:val="center"/>
          </w:tcPr>
          <w:p w:rsidR="00902F21" w:rsidRPr="00755EFD" w:rsidRDefault="00902F21" w:rsidP="00635F75"/>
        </w:tc>
      </w:tr>
    </w:tbl>
    <w:p w:rsidR="00902F21" w:rsidRPr="00755EFD" w:rsidRDefault="00902F21" w:rsidP="00902F21">
      <w:pPr>
        <w:ind w:firstLine="142"/>
        <w:jc w:val="both"/>
        <w:rPr>
          <w:b/>
        </w:rPr>
      </w:pPr>
      <w:r w:rsidRPr="00755EFD">
        <w:rPr>
          <w:b/>
        </w:rPr>
        <w:t>Кестенің жалғасы</w:t>
      </w:r>
    </w:p>
    <w:p w:rsidR="00902F21" w:rsidRPr="00755EFD" w:rsidRDefault="00902F21" w:rsidP="00902F21">
      <w:pPr>
        <w:ind w:firstLine="142"/>
        <w:jc w:val="both"/>
      </w:pPr>
      <w:r w:rsidRPr="00755EFD">
        <w:t>Продолжение таблицы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709"/>
        <w:gridCol w:w="1931"/>
        <w:gridCol w:w="1709"/>
        <w:gridCol w:w="1931"/>
        <w:gridCol w:w="1709"/>
        <w:gridCol w:w="1931"/>
        <w:gridCol w:w="1709"/>
      </w:tblGrid>
      <w:tr w:rsidR="00902F21" w:rsidRPr="00755EFD" w:rsidTr="00635F75">
        <w:trPr>
          <w:jc w:val="center"/>
        </w:trPr>
        <w:tc>
          <w:tcPr>
            <w:tcW w:w="3644" w:type="pct"/>
            <w:gridSpan w:val="8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Қаржылық операциялар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Финансовые операции</w:t>
            </w:r>
          </w:p>
        </w:tc>
      </w:tr>
      <w:tr w:rsidR="00902F21" w:rsidRPr="00755EFD" w:rsidTr="00635F75">
        <w:trPr>
          <w:jc w:val="center"/>
        </w:trPr>
        <w:tc>
          <w:tcPr>
            <w:tcW w:w="911" w:type="pct"/>
            <w:gridSpan w:val="2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Бастапқы нарықта сатып алу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покупка на первичном рынке</w:t>
            </w:r>
          </w:p>
        </w:tc>
        <w:tc>
          <w:tcPr>
            <w:tcW w:w="911" w:type="pct"/>
            <w:gridSpan w:val="2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эмитенттің өтеуі (сатып алуы)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погашение (выкуп)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эмитентом</w:t>
            </w:r>
          </w:p>
        </w:tc>
        <w:tc>
          <w:tcPr>
            <w:tcW w:w="911" w:type="pct"/>
            <w:gridSpan w:val="2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қосалқы нарықта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сатып алу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покупка на вторичном рынке</w:t>
            </w:r>
          </w:p>
        </w:tc>
        <w:tc>
          <w:tcPr>
            <w:tcW w:w="911" w:type="pct"/>
            <w:gridSpan w:val="2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қосалқы нарықта сату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продажа на вторичном рынке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количество, штук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стоимость ЦБ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количество, штук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стоимость ЦБ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количество, штук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стоимость ЦБ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количество, штук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стоимость ЦБ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8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483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428" w:type="pct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</w:tr>
      <w:tr w:rsidR="00902F21" w:rsidRPr="00755EFD" w:rsidTr="00635F75">
        <w:trPr>
          <w:jc w:val="center"/>
        </w:trPr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3" w:type="pct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8" w:type="pct"/>
          </w:tcPr>
          <w:p w:rsidR="00902F21" w:rsidRPr="00755EFD" w:rsidRDefault="00902F21" w:rsidP="00635F75">
            <w:pPr>
              <w:jc w:val="center"/>
            </w:pP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226"/>
        <w:gridCol w:w="1412"/>
        <w:gridCol w:w="1226"/>
        <w:gridCol w:w="1613"/>
        <w:gridCol w:w="1412"/>
        <w:gridCol w:w="1226"/>
        <w:gridCol w:w="1436"/>
        <w:gridCol w:w="1322"/>
        <w:gridCol w:w="2271"/>
      </w:tblGrid>
      <w:tr w:rsidR="00902F21" w:rsidRPr="00755EFD" w:rsidTr="00635F75">
        <w:trPr>
          <w:jc w:val="center"/>
        </w:trPr>
        <w:tc>
          <w:tcPr>
            <w:tcW w:w="1813" w:type="pct"/>
            <w:gridSpan w:val="4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Басқа операциялар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Прочие операции</w:t>
            </w:r>
          </w:p>
        </w:tc>
        <w:tc>
          <w:tcPr>
            <w:tcW w:w="554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Құны бойынша өзгерістер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Стоимостные изменения</w:t>
            </w:r>
          </w:p>
        </w:tc>
        <w:tc>
          <w:tcPr>
            <w:tcW w:w="906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аяғында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 конец отчетного периода</w:t>
            </w:r>
          </w:p>
        </w:tc>
        <w:tc>
          <w:tcPr>
            <w:tcW w:w="947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кіріс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Инвестиционный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доход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Алынған комиссиялық алымдар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Комиссионные полученные</w:t>
            </w:r>
          </w:p>
        </w:tc>
      </w:tr>
      <w:tr w:rsidR="00902F21" w:rsidRPr="00755EFD" w:rsidTr="00635F75">
        <w:trPr>
          <w:jc w:val="center"/>
        </w:trPr>
        <w:tc>
          <w:tcPr>
            <w:tcW w:w="907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есептеу бойынша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 зачислению ЦБ</w:t>
            </w:r>
          </w:p>
        </w:tc>
        <w:tc>
          <w:tcPr>
            <w:tcW w:w="906" w:type="pct"/>
            <w:gridSpan w:val="2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есептен шығарубойынша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 списанию ЦБ</w:t>
            </w: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485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21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493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Есеп беру кезеңінде есептелге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Начислено в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отчетном периоде</w:t>
            </w:r>
          </w:p>
        </w:tc>
        <w:tc>
          <w:tcPr>
            <w:tcW w:w="453" w:type="pct"/>
            <w:vMerge w:val="restar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 беру кезеңінде алынғаны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Получено в отчетном периоде</w:t>
            </w:r>
          </w:p>
        </w:tc>
        <w:tc>
          <w:tcPr>
            <w:tcW w:w="780" w:type="pct"/>
            <w:vMerge/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486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2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485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саны, дана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количество, штук</w:t>
            </w:r>
          </w:p>
        </w:tc>
        <w:tc>
          <w:tcPr>
            <w:tcW w:w="42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БҚ құны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стоимость ЦБ</w:t>
            </w:r>
          </w:p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421" w:type="pct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493" w:type="pct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453" w:type="pct"/>
            <w:vMerge/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vMerge/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486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42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485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42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554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485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421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49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453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780" w:type="pct"/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486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5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554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5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5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80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</w:tr>
      <w:tr w:rsidR="00902F21" w:rsidRPr="00755EFD" w:rsidTr="00635F75">
        <w:trPr>
          <w:jc w:val="center"/>
        </w:trPr>
        <w:tc>
          <w:tcPr>
            <w:tcW w:w="486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5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554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85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21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9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453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  <w:tc>
          <w:tcPr>
            <w:tcW w:w="780" w:type="pct"/>
            <w:vAlign w:val="center"/>
          </w:tcPr>
          <w:p w:rsidR="00902F21" w:rsidRPr="00755EFD" w:rsidRDefault="00902F21" w:rsidP="00635F75">
            <w:pPr>
              <w:jc w:val="center"/>
            </w:pP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2.1 Резиденттер эмиссиялаған және бейрезиденттерге тиесілі бағалы қағаздар, мың АҚШ долларымен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2.1 Ценные бумаги, эмитированные резидентами и принадлежащие нерезидентам, в тысячах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2.2 Бейрезиденттер эмиссиялаған және резиденттерге тиесілі бағалы қағаздар, мың АҚШ долларымен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2.2 Ценные бумаги, эмитированные нерезидентами и принадлежащие резидентам, в тысячах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x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2.3 Резиденттер эмиссиялаған және резиденттерге тиесілі бағалы қағаздар, мың АҚШ долларымен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2.3 Ценные бумаги, эмитированные резидентами и принадлежащие резидентам, в тысячах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75"/>
        <w:gridCol w:w="826"/>
        <w:gridCol w:w="826"/>
        <w:gridCol w:w="826"/>
        <w:gridCol w:w="826"/>
        <w:gridCol w:w="934"/>
        <w:gridCol w:w="934"/>
        <w:gridCol w:w="826"/>
        <w:gridCol w:w="1042"/>
        <w:gridCol w:w="1042"/>
        <w:gridCol w:w="1042"/>
        <w:gridCol w:w="1042"/>
        <w:gridCol w:w="1042"/>
        <w:gridCol w:w="1039"/>
      </w:tblGrid>
      <w:tr w:rsidR="00902F21" w:rsidRPr="00755EFD" w:rsidTr="00635F75">
        <w:trPr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49"/>
        <w:gridCol w:w="1650"/>
        <w:gridCol w:w="1650"/>
        <w:gridCol w:w="1042"/>
        <w:gridCol w:w="1760"/>
        <w:gridCol w:w="1042"/>
        <w:gridCol w:w="2083"/>
        <w:gridCol w:w="1042"/>
        <w:gridCol w:w="1563"/>
      </w:tblGrid>
      <w:tr w:rsidR="00902F21" w:rsidRPr="00755EFD" w:rsidTr="00635F75">
        <w:trPr>
          <w:jc w:val="center"/>
        </w:trPr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17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18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19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25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x</w:t>
            </w:r>
          </w:p>
        </w:tc>
      </w:tr>
      <w:tr w:rsidR="00902F21" w:rsidRPr="00755EFD" w:rsidTr="00635F75">
        <w:trPr>
          <w:jc w:val="center"/>
        </w:trPr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2F21" w:rsidRPr="00755EFD" w:rsidRDefault="00902F21" w:rsidP="00635F75">
            <w:r w:rsidRPr="00755EFD">
              <w:t>x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tbl>
      <w:tblPr>
        <w:tblW w:w="48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8"/>
      </w:tblGrid>
      <w:tr w:rsidR="00902F21" w:rsidRPr="00755EFD" w:rsidTr="00635F7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7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1"/>
              <w:gridCol w:w="7363"/>
            </w:tblGrid>
            <w:tr w:rsidR="00902F21" w:rsidRPr="00755EFD" w:rsidTr="00635F75">
              <w:tc>
                <w:tcPr>
                  <w:tcW w:w="239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Атауы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Наименование________________________________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_____________________________________________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Т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елефоны (респонденттің)     </w:t>
                  </w: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                                             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                                         стационарлық 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                                         стационарный</w:t>
                  </w:r>
                </w:p>
              </w:tc>
              <w:tc>
                <w:tcPr>
                  <w:tcW w:w="260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</w:tc>
            </w:tr>
          </w:tbl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2259"/>
              <w:gridCol w:w="3809"/>
              <w:gridCol w:w="3639"/>
            </w:tblGrid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lastRenderedPageBreak/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келісеміз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51C5800A" wp14:editId="20CDE649">
                        <wp:extent cx="371475" cy="333375"/>
                        <wp:effectExtent l="0" t="0" r="0" b="0"/>
                        <wp:docPr id="293" name="Рисунок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келіспейміз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16085284" wp14:editId="58525D2E">
                        <wp:extent cx="371475" cy="333375"/>
                        <wp:effectExtent l="0" t="0" r="0" b="0"/>
                        <wp:docPr id="294" name="Рисунок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Электрондық пошта мекенжайы (респонденттің) 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</w:t>
            </w:r>
          </w:p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490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  <w:gridCol w:w="4416"/>
            </w:tblGrid>
            <w:tr w:rsidR="00902F21" w:rsidRPr="00755EFD" w:rsidTr="00635F75">
              <w:tc>
                <w:tcPr>
                  <w:tcW w:w="339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Орындаушы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</w:tc>
              <w:tc>
                <w:tcPr>
                  <w:tcW w:w="160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қолы, телефоны (орындаушының)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902F21" w:rsidRPr="00755EFD" w:rsidRDefault="00902F21" w:rsidP="00635F75">
            <w:pPr>
              <w:pStyle w:val="pj"/>
              <w:rPr>
                <w:rStyle w:val="s0"/>
                <w:color w:val="auto"/>
                <w:szCs w:val="28"/>
              </w:rPr>
            </w:pPr>
            <w:r w:rsidRPr="00755EFD">
              <w:rPr>
                <w:rStyle w:val="s0"/>
                <w:color w:val="auto"/>
                <w:szCs w:val="28"/>
              </w:rPr>
              <w:lastRenderedPageBreak/>
              <w:t> </w:t>
            </w:r>
          </w:p>
          <w:p w:rsidR="00902F21" w:rsidRPr="00755EFD" w:rsidRDefault="00902F21" w:rsidP="00635F75">
            <w:pPr>
              <w:pStyle w:val="pj"/>
              <w:rPr>
                <w:rStyle w:val="s0"/>
                <w:color w:val="auto"/>
                <w:szCs w:val="28"/>
              </w:rPr>
            </w:pPr>
          </w:p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</w:p>
          <w:p w:rsidR="00902F21" w:rsidRPr="000839B6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>Ескертпе: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0839B6">
              <w:rPr>
                <w:rStyle w:val="s0"/>
                <w:color w:val="auto"/>
                <w:sz w:val="28"/>
                <w:szCs w:val="28"/>
              </w:rPr>
              <w:t>Примечание: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Мемлекеттік статистиканың тиісті органдарына анық емес </w:t>
            </w:r>
            <w:r w:rsidRPr="000839B6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статистикалық деректерді ұсыну және </w:t>
            </w:r>
            <w:r w:rsidRPr="000839B6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0839B6">
              <w:rPr>
                <w:rStyle w:val="s0"/>
                <w:color w:val="auto"/>
                <w:sz w:val="28"/>
                <w:szCs w:val="28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 w:rsidRPr="000839B6">
              <w:rPr>
                <w:color w:val="auto"/>
                <w:sz w:val="28"/>
                <w:szCs w:val="28"/>
              </w:rPr>
              <w:t>статьей 497</w:t>
            </w:r>
            <w:r w:rsidRPr="000839B6">
              <w:rPr>
                <w:rStyle w:val="s0"/>
                <w:color w:val="auto"/>
                <w:sz w:val="28"/>
                <w:szCs w:val="28"/>
              </w:rPr>
              <w:t xml:space="preserve"> Кодекса Республики Казахстан об административных правонарушениях.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  <w:sectPr w:rsidR="00902F21" w:rsidRPr="00755EFD" w:rsidSect="008377A6">
          <w:headerReference w:type="even" r:id="rId11"/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pgNumType w:start="263"/>
          <w:cols w:space="708"/>
          <w:docGrid w:linePitch="360"/>
        </w:sectPr>
      </w:pPr>
    </w:p>
    <w:p w:rsidR="00902F21" w:rsidRPr="00755EFD" w:rsidRDefault="00902F21" w:rsidP="00902F21">
      <w:pPr>
        <w:ind w:firstLine="5387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26 к постановлению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ind w:hanging="567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статистического наблюдения «Отчет о международных операциях по ценным бумагам с нерезидентами» 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15-ПБ, периодичность квартальная)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 по заполнению статистической формы ведомственного статистического наблюдения «Отчет о международных операциях по ценным бумагам с нерезидентами» (индекс 15-ПБ, периодичность квартальная) (далее – статистическая форма) разработана в соответствии с </w:t>
      </w:r>
      <w:hyperlink r:id="rId14" w:history="1">
        <w:r w:rsidRPr="00755EFD">
          <w:rPr>
            <w:sz w:val="28"/>
            <w:szCs w:val="28"/>
          </w:rPr>
          <w:t>подпунктом 2-1) части первой статьи 13</w:t>
        </w:r>
      </w:hyperlink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:rsidR="00902F21" w:rsidRPr="00E160B9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Статистическая форма представляется ежеквартально банками, филиалами банков-нерезидентов в Республике Казахстан, брокерами и (или) дилерами, организациями по управлению инвестиционным портфелем, номинальными держателями и регистраторами ценных бумаг</w:t>
      </w:r>
      <w:r w:rsidRPr="00E160B9">
        <w:rPr>
          <w:sz w:val="28"/>
          <w:szCs w:val="28"/>
        </w:rPr>
        <w:t xml:space="preserve">, организациями, осуществляющими кастодиальную деятельность, организациями, осуществляющими депозитарную деятельность, </w:t>
      </w:r>
      <w:r w:rsidRPr="00755EFD">
        <w:rPr>
          <w:sz w:val="28"/>
          <w:szCs w:val="28"/>
        </w:rPr>
        <w:t xml:space="preserve">организациями, осуществляющими инвестиционное управление пенсионными активами, единым накопительным пенсионным фондом - по собственным активам и по пенсионным активам, находящимся в доверительном управлении Национального Банка Республики Казахстан, добровольным накопительным пенсионным фондом, </w:t>
      </w:r>
      <w:r w:rsidRPr="00E160B9">
        <w:rPr>
          <w:sz w:val="28"/>
          <w:szCs w:val="28"/>
        </w:rPr>
        <w:t>в том числе участниками Международного финансового центра «Астана».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В статистической форме респондентами отражается информация по собственным операциям и операциям клиентов респондента: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с ценными бумагами, эмитированными резидентами и принадлежащими клиенту-нерезиденту респондента (части 1.1.1, 1.2.1, 2.1);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с ценными бумагами, эмитированными нерезидентами и принадлежащими респонденту или клиенту-резиденту респондента (части 1.1.2, 1.2.2, 2.2);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с ценными бумагами, эмитированными резидентами за рубежом и принадлежащими респонденту или клиенту-резиденту респондента (часть 2.3).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Допускается представление отдельной статистической формы по ценным бумагам, принадлежащим респонденту, и ценным бумагам, принадлежащим его клиентам. Для организаций, осуществляющих несколько </w:t>
      </w:r>
      <w:r w:rsidRPr="00755EFD">
        <w:rPr>
          <w:sz w:val="28"/>
          <w:szCs w:val="28"/>
        </w:rPr>
        <w:lastRenderedPageBreak/>
        <w:t>видов деятельности на рынке ценных бумаг, допускается представление отдельной статистической формы по каждому виду деятельности. В указанных случаях в комментарии указывается специфика представленной статистической формы.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 статистической форме отражаются первичные статистические данные по проведенным с нерезидентами (от своего имени и от имени клиентов) за отчетный период операциям со всеми ценными бумагами, эмитированными в Республике Казахстан и за рубежом, за исключением государственных ценных бумаг, эмитированных в Республике Казахстан. Также предоставляются сведения по количеству ценных бумаг, их стоимости на начало и конец отчетного периода, инвестиционному доходу от владения ценными бумагами и комиссионным сборам за обслуживание, в том числе в случае отсутствия в отчетном периоде операций.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Сведения представляются отдельно по каждому виду ценной бумаги и каждому владельцу.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Операции обратной покупки ценных бумаг в статистической форме не отражаются. Суммы на начало и конец отчетного периода по ценной бумаге, задействованной в соглашениях об обратной покупке, отражаются по первоначальному владельцу ценной бумаги.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9. Акционерное общество «Центральный депозитарий ценных бумаг» дополнительно представляет сведения по наименованию депонента/держателя, наименованию собственника ценных бумаг, коду сектора экономики депонента и коду страны депонента. Сведения представляются отдельно по каждому виду ценной бумаги и каждому владельцу. Национальный Банк Республики Казахстан вправе запросить у профессиональных участников рынка ценных бумаг сведения по операциям с ценными бумагами и собственнику ценных бумаг.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В графе 1 отражается порядковый номер записи. Нумерация записи для каждой части определенного раздела осуществляется самостоятельно.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11. В графе 2 по каждой строке всегда проставляется код операции в соответствии со следующими частями формы для части: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1.1.1 – код 1111;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1.1.2 – код 1210;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1.2.1 – код 1121;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1.2.2 – код 1220;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2.1 – код 2121;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2.2 – код 2220;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2.3 – код 2120.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12. В графе 3 отражается международный идентификационный номер ценной бумаги.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13. В графах 4 и 5 отражается код типа владельца счета, присваиваемый каждому владельцу: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1) в графе 4 – трехзначный цифровой код страны владельца счета в соответствии с национальным классификатором Республики Казахстан НК РК </w:t>
      </w:r>
      <w:r w:rsidRPr="00755EFD">
        <w:rPr>
          <w:sz w:val="28"/>
          <w:szCs w:val="28"/>
        </w:rPr>
        <w:lastRenderedPageBreak/>
        <w:t>ISO 3166-1-2016 «Коды для представления названий стран и единиц их административно-территориальных подразделений Часть 1. Коды стран»;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в графе 5 – код категории владельца счета: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«1» центральное правительство;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«2» региональные и местные органы управления;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«3» центральные (национальные) банки;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«4» другие депозитные организации;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«5» другие финансовые организации;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«6» государственные нефинансовые организации;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«7» негосударственные нефинансовые организации;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«8» некоммерческие организации, обслуживающие домашние хозяйства;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«9» домашние хозяйства.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14. Финансовые операции по графам 8, 9, 10, 11, 12, 13, 14 и 15 включают операции между резидентом и нерезидентом, предполагающие смену экономического права собственности ценных бумаг, и отражаются по стоимости, указанной в сделке (в случае отсутствия-по цене, котируемой на рынке на дату соглашения): покупка (продажа) на первичном и вторичном рынках ценных бумаг, получение (передача) ценных бумаг в дар, по наследству.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15. Прочие операции по графам 16, 17, 18 и 19 включают: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операции между резидентом и нерезидентом, не влекущие в результате передачу права собственности на ценные бумаги (передача ценных бумаг в номинальное держание, переход клиентов от одного номинального держателя или регистратора к другому номинальному держателю или регистратору);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операции между резидентом и нерезидентом с передачей прав собственности, за исключением отнесенных к финансовым операциям: отчуждение ценных бумаг по решению суда;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операции между нерезидентами с передачей прав собственности (покупка на вторичном рынке, продажа на вторичном рынке);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4) операции между резидентами с передачей прав собственности (покупка на вторичном рынке, продажа на вторичном рынке).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16. Стоимостные изменения по графе 20 включают изменения в результате колебаний валютного курса (курсовую разницу в случае ценных бумаг, номинированных в иной, чем доллары Соединенных Штатов Америки (далее – США), иностранной валюте), а также рыночной стоимости ценной бумаги.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17. В графе 23 отражаются сведения только по долговым ценным бумагам: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начисление объявленного вознаграждения за дни владения респондентом или его клиентом ценной бумагой в отчетном периоде;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2) </w:t>
      </w:r>
      <w:r w:rsidRPr="00E160B9">
        <w:rPr>
          <w:sz w:val="28"/>
        </w:rPr>
        <w:t>начисление вознаграждения, обусловленное амортизацией</w:t>
      </w:r>
      <w:r w:rsidRPr="00755EFD">
        <w:rPr>
          <w:sz w:val="28"/>
          <w:szCs w:val="28"/>
        </w:rPr>
        <w:t xml:space="preserve"> премии или дисконта за дни владения респондентом или его клиентом ценной бумагой в отчетном периоде.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18. В графе 24 отражаются сведения по доходам, полученным в отчетном периоде: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дивиденды, полученные респондентом или его клиентом в отчетном периоде;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вознаграждение, полученное респондентом или его клиентом в отчетном периоде при погашении эмитентом начисленного вознаграждения по долговым ценным бумагам.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Указанные в настоящем пункте доходы отражаются в сумме, включающей любые удерживаемые с них комиссионные сборы или налоги.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19. В графе 25 отражаются сведения по комиссионному доходу за брокерские услуги, консультативные, информационные, регистраторские и прочие услуги, выплачиваемые клиентом-нерезидентом респонденту.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20. Если в отчетном периоде за счет вознаграждения возникает разница между стоимостью ценной бумаги на конец отчетного периода и на начало следующего периода, то эта разница отражается через прочие операции в отчетном периоде: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1) в графе 17, если разница положительная,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2) в графе 19, если разница отрицательная. При этом отражается положительное значение разницы.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21. Покупка и продажа ценных бумаг на вторичном рынке отражаются в графах 13 и 15 по текущей рыночной стоимости, или стоимости, соответствующей цене, указанной клиентом – покупателем или продавцом.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22. Позиции по ценным бумагам на начало отчетного периода в графах 6 и 7 равны их позициям на конец предыдущего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Позиция по ценным бумагам на конец отчетного периода в графе 22 определяется исходя из рыночной цены, объявленной на организованном рынке ценных бумаг на конец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 с ценными бумагами, по которым сделки заключаются на неорганизованном рынке, для оценки позиции по ценным бумагам на конец отчетного периода в графе 22 применяются в порядке предпочтения следующие цены: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цена ценной бумаги по последней сделке;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цена ценной бумаги по покупной стоимости, исключая расходы, связанные с приобретением (брокерское вознаграждение, вознаграждение за банковские услуги);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номинальная стоимость ценной бумаги.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23. В части 1.1 раздела 1 суммы по операциям с ценными бумагами, эмитированными в Республике Казахстан и номинированными в тенге, отражаются в тысячах тенге. В части 1.2 раздела 1 суммы по операциям с ценными бумагами, эмитированными в Республике Казахстан и номинированными в иностранной валюте, отражаются в тысячах долларов США.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24. В разделе 2 суммы по операциям с ценными бумагами, эмитированными в соответствии с законодательством других государств и на их территории и номинированными в иностранных валютах, отражаются в тысячах долларов США.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25. Финансовые операции и прочие показатели, выраженные в иных иностранных валютах, переводятся в доллары США по кросс-курсу, определенному следующим образом: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стоимость на начало периода переводится по кросс-курсу на конец предыдущего периода;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стоимость на конец периода – по кросс-курсу на конец отчетного периода;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финансовые и прочие операции, инвестиционный доход и комиссионные – по кросс-курсу на дату проведения операции либо по средневзвешенному кросс-курсу за отчетный период.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Для конвертации используются рыночные курсы обмена валют, применяемые в целях формирования финансовой отчетности.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26.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вносятся в течение 3 (трех) месяцев после завершения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 отсутствия сведений статистическая форма не представляется.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27. Арифметико-логический контроль: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по позициям на начало отчетного периода: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6 = графа 21 статистической формы за предыдущий период;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7 = графа 22 статистической формы за предыдущий период;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по стоимости ценных бумаг для каждой строки: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7 = графа 6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9 = графа 8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11 = графа 10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13 = графа 12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15 = графа 14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17 = графа 16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19 = графа 18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22 = графа 21 * цена ценной бумаги;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по количеству ценных бумаг для каждой строки статистической формы: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21 = графа 6 + графа 8 – графа 10 + графа 12 – графа 14 + графа 16 – графа 18;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4) для корректного отражения стоимостных изменений вначале заполняется статистическая форма в валюте номинации, и только затем переводятся потоки и запасы по соответствующим курсам к доллару США. После заполнения всех граф, кроме стоимостных изменений, в валюте учета, графа 20 определяется остаточным методом: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20 = графа 22 – графа 7 – графа 9 + графа 11 – графа 13 + графа 15 – графа 17 + графа 19 для каждой строки.</w:t>
      </w:r>
      <w:bookmarkStart w:id="0" w:name="_GoBack"/>
      <w:bookmarkEnd w:id="0"/>
    </w:p>
    <w:sectPr w:rsidR="00902F21" w:rsidRPr="00755EFD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39" w:rsidRDefault="00E92739" w:rsidP="00902F21">
      <w:r>
        <w:separator/>
      </w:r>
    </w:p>
  </w:endnote>
  <w:endnote w:type="continuationSeparator" w:id="0">
    <w:p w:rsidR="00E92739" w:rsidRDefault="00E92739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39" w:rsidRDefault="00E92739" w:rsidP="00902F21">
      <w:r>
        <w:separator/>
      </w:r>
    </w:p>
  </w:footnote>
  <w:footnote w:type="continuationSeparator" w:id="0">
    <w:p w:rsidR="00E92739" w:rsidRDefault="00E92739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E92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261970">
      <w:rPr>
        <w:rStyle w:val="af4"/>
        <w:noProof/>
      </w:rPr>
      <w:t>278</w:t>
    </w:r>
    <w:r w:rsidRPr="00D957B2">
      <w:rPr>
        <w:rStyle w:val="af4"/>
      </w:rPr>
      <w:fldChar w:fldCharType="end"/>
    </w:r>
  </w:p>
  <w:p w:rsidR="001F60D7" w:rsidRDefault="00E927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70">
          <w:rPr>
            <w:noProof/>
          </w:rPr>
          <w:t>272</w:t>
        </w:r>
        <w:r>
          <w:fldChar w:fldCharType="end"/>
        </w:r>
      </w:p>
    </w:sdtContent>
  </w:sdt>
  <w:p w:rsidR="001F60D7" w:rsidRPr="008A51E2" w:rsidRDefault="00E92739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0D7AC3"/>
    <w:rsid w:val="00252375"/>
    <w:rsid w:val="00261970"/>
    <w:rsid w:val="00271C68"/>
    <w:rsid w:val="002F5E03"/>
    <w:rsid w:val="00300152"/>
    <w:rsid w:val="00495B5C"/>
    <w:rsid w:val="005206D7"/>
    <w:rsid w:val="00632CF6"/>
    <w:rsid w:val="006439F8"/>
    <w:rsid w:val="00750985"/>
    <w:rsid w:val="008377A6"/>
    <w:rsid w:val="00902F21"/>
    <w:rsid w:val="009C204F"/>
    <w:rsid w:val="009E6BA3"/>
    <w:rsid w:val="00E3239D"/>
    <w:rsid w:val="00E92739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jl:30605510.13000201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3688</Words>
  <Characters>21025</Characters>
  <Application>Microsoft Office Word</Application>
  <DocSecurity>0</DocSecurity>
  <Lines>175</Lines>
  <Paragraphs>49</Paragraphs>
  <ScaleCrop>false</ScaleCrop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9</cp:revision>
  <dcterms:created xsi:type="dcterms:W3CDTF">2025-07-31T12:28:00Z</dcterms:created>
  <dcterms:modified xsi:type="dcterms:W3CDTF">2025-08-01T04:26:00Z</dcterms:modified>
</cp:coreProperties>
</file>